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2201159</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פ/2510/25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 xml:space="preserve">הצעת חוק עבודת נשים (תיקון – הגנה לעובדת העוברת טיפולי פוריות), </w:t>
      </w:r>
      <w:proofErr w:type="spellStart"/>
      <w:r>
        <w:rPr>
          <w:rFonts w:hint="cs"/>
          <w:rtl/>
        </w:rPr>
        <w:t>התשפ"ג</w:t>
      </w:r>
      <w:proofErr w:type="spellEnd"/>
      <w:r>
        <w:rPr>
          <w:rFonts w:hint="cs"/>
          <w:rtl/>
        </w:rPr>
        <w:t>–2023</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7363BB" w:rsidRPr="00691D04" w14:paraId="46E5A70D" w14:textId="77777777" w:rsidTr="00960508">
        <w:trPr>
          <w:cantSplit/>
          <w:trHeight w:val="60"/>
        </w:trPr>
        <w:tc>
          <w:tcPr>
            <w:tcW w:w="1871" w:type="dxa"/>
            <w:hideMark/>
          </w:tcPr>
          <w:p w14:paraId="780A3D17" w14:textId="77777777" w:rsidR="007363BB" w:rsidRPr="00691D04" w:rsidRDefault="007363BB" w:rsidP="00960508">
            <w:pPr>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691D04">
              <w:rPr>
                <w:rFonts w:ascii="Arial" w:eastAsia="Arial Unicode MS" w:hAnsi="Arial" w:cs="David"/>
                <w:spacing w:val="0"/>
                <w:sz w:val="20"/>
                <w:szCs w:val="26"/>
                <w:rtl/>
              </w:rPr>
              <w:t xml:space="preserve">תיקון סעיף 9 </w:t>
            </w:r>
          </w:p>
        </w:tc>
        <w:tc>
          <w:tcPr>
            <w:tcW w:w="624" w:type="dxa"/>
            <w:hideMark/>
          </w:tcPr>
          <w:p w14:paraId="3BD68169" w14:textId="77777777" w:rsidR="007363BB" w:rsidRPr="00691D04" w:rsidRDefault="007363BB" w:rsidP="00960508">
            <w:pPr>
              <w:tabs>
                <w:tab w:val="left" w:pos="624"/>
                <w:tab w:val="left" w:pos="1247"/>
              </w:tabs>
              <w:snapToGrid w:val="0"/>
              <w:spacing w:before="0" w:line="360" w:lineRule="auto"/>
              <w:ind w:right="57" w:firstLine="0"/>
              <w:jc w:val="left"/>
              <w:rPr>
                <w:rFonts w:ascii="Arial" w:eastAsia="Arial Unicode MS" w:hAnsi="Arial" w:cs="David"/>
                <w:spacing w:val="0"/>
                <w:sz w:val="20"/>
                <w:szCs w:val="26"/>
              </w:rPr>
            </w:pPr>
            <w:r w:rsidRPr="00691D04">
              <w:rPr>
                <w:rFonts w:ascii="Arial" w:eastAsia="Arial Unicode MS" w:hAnsi="Arial" w:cs="David"/>
                <w:spacing w:val="0"/>
                <w:sz w:val="20"/>
                <w:szCs w:val="26"/>
                <w:rtl/>
              </w:rPr>
              <w:t>1.</w:t>
            </w:r>
          </w:p>
        </w:tc>
        <w:tc>
          <w:tcPr>
            <w:tcW w:w="7146" w:type="dxa"/>
            <w:hideMark/>
          </w:tcPr>
          <w:p w14:paraId="2F2F5BE8" w14:textId="77777777" w:rsidR="007363BB" w:rsidRPr="00691D04" w:rsidRDefault="007363BB" w:rsidP="00960508">
            <w:pPr>
              <w:keepLines/>
              <w:tabs>
                <w:tab w:val="left" w:pos="624"/>
                <w:tab w:val="left" w:pos="1247"/>
              </w:tabs>
              <w:snapToGrid w:val="0"/>
              <w:spacing w:before="0" w:line="360" w:lineRule="auto"/>
              <w:ind w:firstLine="0"/>
              <w:rPr>
                <w:rFonts w:ascii="Arial" w:eastAsia="Arial Unicode MS" w:hAnsi="Arial" w:cs="David"/>
                <w:spacing w:val="0"/>
                <w:sz w:val="20"/>
                <w:szCs w:val="26"/>
              </w:rPr>
            </w:pPr>
            <w:r w:rsidRPr="00691D04">
              <w:rPr>
                <w:rFonts w:ascii="Arial" w:eastAsia="Arial Unicode MS" w:hAnsi="Arial" w:cs="David"/>
                <w:spacing w:val="0"/>
                <w:sz w:val="20"/>
                <w:szCs w:val="26"/>
                <w:rtl/>
              </w:rPr>
              <w:t xml:space="preserve">בחוק עבודת נשים, </w:t>
            </w:r>
            <w:proofErr w:type="spellStart"/>
            <w:r w:rsidRPr="00691D04">
              <w:rPr>
                <w:rFonts w:ascii="Arial" w:eastAsia="Arial Unicode MS" w:hAnsi="Arial" w:cs="David"/>
                <w:spacing w:val="0"/>
                <w:sz w:val="20"/>
                <w:szCs w:val="26"/>
                <w:rtl/>
              </w:rPr>
              <w:t>התשי"ד</w:t>
            </w:r>
            <w:proofErr w:type="spellEnd"/>
            <w:r w:rsidRPr="00691D04">
              <w:rPr>
                <w:rFonts w:ascii="Arial" w:eastAsia="Arial Unicode MS" w:hAnsi="Arial" w:cs="David"/>
                <w:spacing w:val="0"/>
                <w:sz w:val="20"/>
                <w:szCs w:val="26"/>
                <w:rtl/>
              </w:rPr>
              <w:t>–1954</w:t>
            </w:r>
            <w:r w:rsidRPr="00691D04">
              <w:rPr>
                <w:rFonts w:ascii="Arial" w:eastAsia="Arial Unicode MS" w:hAnsi="Arial" w:cs="David"/>
                <w:spacing w:val="0"/>
                <w:sz w:val="20"/>
                <w:szCs w:val="26"/>
                <w:vertAlign w:val="superscript"/>
                <w:rtl/>
              </w:rPr>
              <w:footnoteReference w:id="2"/>
            </w:r>
            <w:r w:rsidRPr="00691D04">
              <w:rPr>
                <w:rFonts w:ascii="Arial" w:eastAsia="Arial Unicode MS" w:hAnsi="Arial" w:cs="David"/>
                <w:spacing w:val="0"/>
                <w:sz w:val="20"/>
                <w:szCs w:val="26"/>
                <w:rtl/>
              </w:rPr>
              <w:t xml:space="preserve">, בסעיף 9(ה)(1), </w:t>
            </w:r>
            <w:proofErr w:type="spellStart"/>
            <w:r w:rsidRPr="00691D04">
              <w:rPr>
                <w:rFonts w:ascii="Arial" w:eastAsia="Arial Unicode MS" w:hAnsi="Arial" w:cs="David"/>
                <w:spacing w:val="0"/>
                <w:sz w:val="20"/>
                <w:szCs w:val="26"/>
                <w:rtl/>
              </w:rPr>
              <w:t>הסיפה</w:t>
            </w:r>
            <w:proofErr w:type="spellEnd"/>
            <w:r w:rsidRPr="00691D04">
              <w:rPr>
                <w:rFonts w:ascii="Arial" w:eastAsia="Arial Unicode MS" w:hAnsi="Arial" w:cs="David"/>
                <w:spacing w:val="0"/>
                <w:sz w:val="20"/>
                <w:szCs w:val="26"/>
                <w:rtl/>
              </w:rPr>
              <w:t xml:space="preserve"> החל במילים "הוראת סעיף קטן זה" – תימחק.</w:t>
            </w:r>
          </w:p>
        </w:tc>
      </w:tr>
    </w:tbl>
    <w:p w14:paraId="7F6961CA" w14:textId="77777777" w:rsidR="002D1EE3" w:rsidRDefault="002D1EE3" w:rsidP="00775D65">
      <w:pPr>
        <w:pStyle w:val="HeadDivreiHesber"/>
        <w:spacing w:line="276" w:lineRule="auto"/>
        <w:rPr>
          <w:rtl/>
        </w:rPr>
      </w:pPr>
      <w:r w:rsidRPr="0027450A">
        <w:rPr>
          <w:rFonts w:hint="cs"/>
          <w:rtl/>
        </w:rPr>
        <w:t>דברי הסבר</w:t>
      </w:r>
    </w:p>
    <w:p w14:paraId="2E2026AB" w14:textId="77777777" w:rsidR="007363BB" w:rsidRPr="0045399F" w:rsidRDefault="007363BB" w:rsidP="00775D65">
      <w:pPr>
        <w:pStyle w:val="Hesber"/>
        <w:spacing w:line="276" w:lineRule="auto"/>
      </w:pPr>
      <w:r w:rsidRPr="0045399F">
        <w:rPr>
          <w:rtl/>
        </w:rPr>
        <w:t xml:space="preserve">חוק עבודת נשים, </w:t>
      </w:r>
      <w:proofErr w:type="spellStart"/>
      <w:r w:rsidRPr="0045399F">
        <w:rPr>
          <w:rtl/>
        </w:rPr>
        <w:t>התשי"ד</w:t>
      </w:r>
      <w:proofErr w:type="spellEnd"/>
      <w:r w:rsidRPr="0045399F">
        <w:rPr>
          <w:rtl/>
        </w:rPr>
        <w:t xml:space="preserve">–1954, מכיר בימים בהם נעדרת עובדת ממקום עבודתה בשל טיפולי הפוריות כימי מחלה. בשנת 2001 תוקן החוק כך שבנוסף להכרה בטיפולי הפוריות כימי מחלה, נוספה בו קביעה לפיה עובדת העוברת טיפולים מסוג זה תזכה להגנה מפני פיטורין בתקופת הטיפולים. אלא שהחוק אינו מספק הגנה מלאה לנשים ולמשפחות המעוניינות לעשות שימוש בטיפולי פוריות אלא הוא מעניק הגנה מפני פיטורים בתקופה שבה הם עוברים טיפולים לקראת שתי לידות לכל היותר. </w:t>
      </w:r>
    </w:p>
    <w:p w14:paraId="22783C46" w14:textId="77777777" w:rsidR="007363BB" w:rsidRPr="0045399F" w:rsidRDefault="007363BB" w:rsidP="00775D65">
      <w:pPr>
        <w:pStyle w:val="Hesber"/>
        <w:spacing w:line="276" w:lineRule="auto"/>
      </w:pPr>
      <w:r w:rsidRPr="0045399F">
        <w:rPr>
          <w:rtl/>
        </w:rPr>
        <w:t>על פי החוק הקיים, עובדת זכאית להיעדר על חשבון ימי מחלה בתקופת טיפולי הפוריות ביחס לכל אחד מילדיה, אלא שרק בטיפולים לקראת שתי לידות לכל היותר בתקופת העסקתה אצל אותו מעסיק או באותו מקום עבודה, היא תזכה להגנה מפני פיטורין במהלך הטיפולים, ואילו ביחס לילדים הנוספים, אותם תבקש להביא לעולם, היא מסתכנת בפיטורין עקב היעדרותה ממקום עבודתה הנגרמת כתוצאה מהטיפולים.</w:t>
      </w:r>
    </w:p>
    <w:p w14:paraId="79AD0E36" w14:textId="77777777" w:rsidR="007363BB" w:rsidRPr="0045399F" w:rsidRDefault="007363BB" w:rsidP="00775D65">
      <w:pPr>
        <w:pStyle w:val="Hesber"/>
        <w:spacing w:line="276" w:lineRule="auto"/>
        <w:rPr>
          <w:rtl/>
        </w:rPr>
      </w:pPr>
      <w:r w:rsidRPr="0045399F">
        <w:rPr>
          <w:rtl/>
        </w:rPr>
        <w:t xml:space="preserve">הצעת החוק מבקשת להסיר את מגבלת שתי הלידות השרירותית ולקבוע כי עובדת זכאית להגנה מפני פיטורין בשעה שהיא עוברת טיפולי פוריות ביחס לכל אחד ואחד מילדיה. </w:t>
      </w:r>
    </w:p>
    <w:p w14:paraId="7F072413" w14:textId="77777777" w:rsidR="007363BB" w:rsidRPr="0045399F" w:rsidRDefault="007363BB" w:rsidP="00775D65">
      <w:pPr>
        <w:pStyle w:val="Hesber"/>
        <w:spacing w:line="276" w:lineRule="auto"/>
        <w:rPr>
          <w:rtl/>
        </w:rPr>
      </w:pPr>
      <w:r w:rsidRPr="0045399F">
        <w:rPr>
          <w:rtl/>
        </w:rPr>
        <w:t>יש לציין כי בתחומים אחרים, החוק אינו מבחין, לצורך הגנה מפני פיטורין, בין שני הילדים הראשונים לאלה הבאים אחריהם. כך הוא הדבר בנוגע להגנה מפני פיטורין ביחס למאמצים ילד מחו"ל אשר זוכים להגנה מפני פיטורין ללא קשר למספר הילדים שכבר יש להם. עניין זה מדגיש את שרירותה של המגבלה הקיימת ביחס לטיפולי פוריות שמן הדין לבטלה.</w:t>
      </w:r>
    </w:p>
    <w:p w14:paraId="4FFFF3D9" w14:textId="77777777" w:rsidR="007363BB" w:rsidRPr="0045399F" w:rsidRDefault="007363BB" w:rsidP="00775D65">
      <w:pPr>
        <w:pStyle w:val="Hesber"/>
        <w:spacing w:line="276" w:lineRule="auto"/>
        <w:rPr>
          <w:rtl/>
        </w:rPr>
      </w:pPr>
      <w:r w:rsidRPr="0045399F">
        <w:rPr>
          <w:rtl/>
        </w:rPr>
        <w:t>הצעת חוק דומה בעיקרה הונחה על שולחן הכנסת התשע-עשרה על ידי חברת הכנסת אורית סטרוק וקבוצת חברי הכנסת (פ/1566/19).</w:t>
      </w:r>
    </w:p>
    <w:p w14:paraId="293AAAEB" w14:textId="77777777" w:rsidR="007363BB" w:rsidRPr="0045399F" w:rsidRDefault="007363BB" w:rsidP="00775D65">
      <w:pPr>
        <w:pStyle w:val="Hesber"/>
        <w:spacing w:line="276" w:lineRule="auto"/>
        <w:rPr>
          <w:rtl/>
        </w:rPr>
      </w:pPr>
      <w:r w:rsidRPr="0045399F">
        <w:rPr>
          <w:rtl/>
        </w:rPr>
        <w:t>הצעות חוק זהות הונחו על שולחן הכנסת העשרים</w:t>
      </w:r>
      <w:r w:rsidRPr="0045399F">
        <w:rPr>
          <w:rFonts w:hint="cs"/>
          <w:rtl/>
        </w:rPr>
        <w:t xml:space="preserve">, </w:t>
      </w:r>
      <w:r w:rsidRPr="0045399F">
        <w:rPr>
          <w:rtl/>
        </w:rPr>
        <w:t>על שולחן הכנסת העשרים ושתיים ועל שולחן הכנסת העשרים ושלוש על ידי חברת הכנסת מרב מיכאלי (פ/1127/2</w:t>
      </w:r>
      <w:r w:rsidRPr="0045399F">
        <w:rPr>
          <w:rFonts w:hint="cs"/>
          <w:rtl/>
        </w:rPr>
        <w:t>0</w:t>
      </w:r>
      <w:r w:rsidRPr="0045399F">
        <w:rPr>
          <w:rtl/>
        </w:rPr>
        <w:t>;</w:t>
      </w:r>
      <w:r w:rsidRPr="0045399F">
        <w:rPr>
          <w:rFonts w:hint="cs"/>
          <w:rtl/>
        </w:rPr>
        <w:t xml:space="preserve"> </w:t>
      </w:r>
      <w:r w:rsidRPr="0045399F">
        <w:rPr>
          <w:rtl/>
        </w:rPr>
        <w:t>פ/1349/22</w:t>
      </w:r>
      <w:r w:rsidRPr="0045399F">
        <w:rPr>
          <w:rFonts w:hint="cs"/>
          <w:rtl/>
        </w:rPr>
        <w:t xml:space="preserve">; </w:t>
      </w:r>
      <w:r w:rsidRPr="0045399F">
        <w:rPr>
          <w:rtl/>
        </w:rPr>
        <w:t>פ/358/23)</w:t>
      </w:r>
      <w:r w:rsidRPr="0045399F">
        <w:rPr>
          <w:rFonts w:hint="cs"/>
          <w:rtl/>
        </w:rPr>
        <w:t xml:space="preserve"> ועל שולחן הכנסת וארבע על ידי חברת הכנסת מרב מיכאלי (פ/1359/24) ועל ידי חברת הכנסת אורלי לוי </w:t>
      </w:r>
      <w:proofErr w:type="spellStart"/>
      <w:r w:rsidRPr="0045399F">
        <w:rPr>
          <w:rFonts w:hint="cs"/>
          <w:rtl/>
        </w:rPr>
        <w:t>אבקסיס</w:t>
      </w:r>
      <w:proofErr w:type="spellEnd"/>
      <w:r w:rsidRPr="0045399F">
        <w:rPr>
          <w:rFonts w:hint="cs"/>
          <w:rtl/>
        </w:rPr>
        <w:t xml:space="preserve"> (פ/2108/24).</w:t>
      </w:r>
    </w:p>
    <w:p w14:paraId="7F6961CB" w14:textId="742921CF" w:rsidR="00E13C27" w:rsidRPr="0045399F" w:rsidRDefault="0045399F" w:rsidP="00775D65">
      <w:pPr>
        <w:pStyle w:val="Hesber"/>
        <w:spacing w:line="276" w:lineRule="auto"/>
        <w:rPr>
          <w:rtl/>
        </w:rPr>
      </w:pPr>
      <w:r w:rsidRPr="0045399F">
        <w:rPr>
          <w:rtl/>
        </w:rPr>
        <w:t>הצע</w:t>
      </w:r>
      <w:r w:rsidRPr="0045399F">
        <w:rPr>
          <w:rFonts w:hint="cs"/>
          <w:rtl/>
        </w:rPr>
        <w:t>ת החוק</w:t>
      </w:r>
      <w:r w:rsidRPr="0045399F">
        <w:rPr>
          <w:rtl/>
        </w:rPr>
        <w:t xml:space="preserve"> זהה </w:t>
      </w:r>
      <w:proofErr w:type="spellStart"/>
      <w:r w:rsidRPr="0045399F">
        <w:rPr>
          <w:rtl/>
        </w:rPr>
        <w:t>לפ</w:t>
      </w:r>
      <w:proofErr w:type="spellEnd"/>
      <w:r w:rsidRPr="0045399F">
        <w:rPr>
          <w:rtl/>
        </w:rPr>
        <w:t>/</w:t>
      </w:r>
      <w:r w:rsidRPr="0045399F">
        <w:rPr>
          <w:rFonts w:hint="cs"/>
          <w:rtl/>
        </w:rPr>
        <w:t>1359</w:t>
      </w:r>
      <w:r w:rsidRPr="0045399F">
        <w:rPr>
          <w:rtl/>
        </w:rPr>
        <w:t>/2</w:t>
      </w:r>
      <w:r w:rsidRPr="0045399F">
        <w:rPr>
          <w:rFonts w:hint="cs"/>
          <w:rtl/>
        </w:rPr>
        <w:t>4</w:t>
      </w:r>
      <w:r w:rsidRPr="0045399F">
        <w:rPr>
          <w:rtl/>
        </w:rPr>
        <w:t xml:space="preserve"> ול</w:t>
      </w:r>
      <w:r w:rsidRPr="0045399F">
        <w:rPr>
          <w:rFonts w:hint="cs"/>
          <w:rtl/>
        </w:rPr>
        <w:t>פיכך</w:t>
      </w:r>
      <w:r w:rsidRPr="0045399F">
        <w:rPr>
          <w:rtl/>
        </w:rPr>
        <w:t xml:space="preserve"> לא נבדקה מחדש על ידי הלשכה המשפטית של הכנסת.</w:t>
      </w:r>
    </w:p>
    <w:p w14:paraId="6636693D" w14:textId="77777777" w:rsidR="008A61BA" w:rsidRDefault="00775D65" w:rsidP="00775D65">
      <w:pPr>
        <w:spacing w:before="0" w:line="276" w:lineRule="auto"/>
        <w:jc w:val="left"/>
      </w:pPr>
      <w:bookmarkStart w:id="8" w:name="selectedDocDateB"/>
      <w:bookmarkEnd w:id="8"/>
      <w:r>
        <w:rPr>
          <w:rFonts w:ascii="David" w:eastAsia="David" w:hAnsi="David" w:cs="David" w:hint="cs"/>
          <w:sz w:val="26"/>
          <w:szCs w:val="26"/>
          <w:rtl/>
        </w:rPr>
        <w:t>----------</w:t>
      </w:r>
      <w:bookmarkStart w:id="9" w:name="_GoBack"/>
      <w:bookmarkEnd w:id="9"/>
      <w:r>
        <w:rPr>
          <w:rFonts w:ascii="David" w:eastAsia="David" w:hAnsi="David" w:cs="David" w:hint="cs"/>
          <w:sz w:val="26"/>
          <w:szCs w:val="26"/>
          <w:rtl/>
        </w:rPr>
        <w:t>----------------------</w:t>
      </w:r>
    </w:p>
    <w:p w14:paraId="5070332F" w14:textId="77777777" w:rsidR="008A61BA" w:rsidRDefault="00775D65" w:rsidP="00775D65">
      <w:pPr>
        <w:spacing w:before="0" w:line="276" w:lineRule="auto"/>
        <w:jc w:val="left"/>
      </w:pPr>
      <w:r>
        <w:rPr>
          <w:rFonts w:ascii="David" w:eastAsia="David" w:hAnsi="David" w:cs="David" w:hint="cs"/>
          <w:sz w:val="26"/>
          <w:szCs w:val="26"/>
          <w:rtl/>
        </w:rPr>
        <w:t>הוגשה ליו"ר הכנסת והסגנים</w:t>
      </w:r>
    </w:p>
    <w:p w14:paraId="7B686CBC" w14:textId="77777777" w:rsidR="008A61BA" w:rsidRDefault="00775D65" w:rsidP="00775D65">
      <w:pPr>
        <w:spacing w:before="0" w:line="276" w:lineRule="auto"/>
        <w:jc w:val="left"/>
      </w:pPr>
      <w:r>
        <w:rPr>
          <w:rFonts w:ascii="David" w:eastAsia="David" w:hAnsi="David" w:cs="David" w:hint="cs"/>
          <w:sz w:val="26"/>
          <w:szCs w:val="26"/>
          <w:rtl/>
        </w:rPr>
        <w:t>והונחה על שולחן הכנסת ביום</w:t>
      </w:r>
    </w:p>
    <w:p w14:paraId="70206041" w14:textId="77777777" w:rsidR="008A61BA" w:rsidRDefault="00775D65" w:rsidP="00775D65">
      <w:pPr>
        <w:spacing w:before="0" w:line="276" w:lineRule="auto"/>
        <w:jc w:val="left"/>
      </w:pPr>
      <w:r>
        <w:rPr>
          <w:rFonts w:ascii="David" w:eastAsia="David" w:hAnsi="David" w:cs="David" w:hint="cs"/>
          <w:sz w:val="26"/>
          <w:szCs w:val="26"/>
          <w:rtl/>
        </w:rPr>
        <w:t xml:space="preserve">כ"ט בשבט </w:t>
      </w:r>
      <w:proofErr w:type="spellStart"/>
      <w:r>
        <w:rPr>
          <w:rFonts w:ascii="David" w:eastAsia="David" w:hAnsi="David" w:cs="David" w:hint="cs"/>
          <w:sz w:val="26"/>
          <w:szCs w:val="26"/>
          <w:rtl/>
        </w:rPr>
        <w:t>התשפ"ג</w:t>
      </w:r>
      <w:proofErr w:type="spellEnd"/>
      <w:r>
        <w:rPr>
          <w:rFonts w:ascii="David" w:eastAsia="David" w:hAnsi="David" w:cs="David" w:hint="cs"/>
          <w:sz w:val="26"/>
          <w:szCs w:val="26"/>
          <w:rtl/>
        </w:rPr>
        <w:t xml:space="preserve"> (20.02.2023) </w:t>
      </w:r>
    </w:p>
    <w:p w14:paraId="6B4C3912" w14:textId="77777777" w:rsidR="008A61BA" w:rsidRDefault="008A61BA">
      <w:pPr>
        <w:spacing w:before="0" w:line="276" w:lineRule="auto"/>
        <w:jc w:val="left"/>
      </w:pPr>
    </w:p>
    <w:sectPr w:rsidR="008A61BA"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775D65">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3467A68" w14:textId="77777777" w:rsidR="007363BB" w:rsidRDefault="007363BB" w:rsidP="007363BB">
      <w:pPr>
        <w:pStyle w:val="a4"/>
      </w:pPr>
      <w:r>
        <w:rPr>
          <w:rStyle w:val="a6"/>
        </w:rPr>
        <w:footnoteRef/>
      </w:r>
      <w:r>
        <w:rPr>
          <w:rtl/>
        </w:rPr>
        <w:t xml:space="preserve"> ס"ח </w:t>
      </w:r>
      <w:proofErr w:type="spellStart"/>
      <w:r>
        <w:rPr>
          <w:rtl/>
        </w:rPr>
        <w:t>התשי"ד</w:t>
      </w:r>
      <w:proofErr w:type="spellEnd"/>
      <w:r>
        <w:rPr>
          <w:rtl/>
        </w:rPr>
        <w:t>, עמ' 154.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5399F"/>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363BB"/>
    <w:rsid w:val="00763CAA"/>
    <w:rsid w:val="00765F66"/>
    <w:rsid w:val="00775D65"/>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1BA"/>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402E9"/>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671B8350-C772-4656-9E87-367A00FA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7363BB"/>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elements/1.1/"/>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290d5b49-c690-4c6f-bbb9-1e50dab33eee"/>
    <ds:schemaRef ds:uri="http://schemas.microsoft.com/office/2006/metadata/properties"/>
  </ds:schemaRefs>
</ds:datastoreItem>
</file>

<file path=customXml/itemProps3.xml><?xml version="1.0" encoding="utf-8"?>
<ds:datastoreItem xmlns:ds="http://schemas.openxmlformats.org/officeDocument/2006/customXml" ds:itemID="{8035D12F-53AF-4DFC-8746-CFCCB512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AC04E-0FDC-45C7-80FA-15781427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369</Words>
  <Characters>1850</Characters>
  <Application>Microsoft Office Word</Application>
  <DocSecurity>0</DocSecurity>
  <Lines>15</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7</cp:revision>
  <cp:lastPrinted>2023-02-15T12:52:00Z</cp:lastPrinted>
  <dcterms:created xsi:type="dcterms:W3CDTF">2015-04-20T09:58:00Z</dcterms:created>
  <dcterms:modified xsi:type="dcterms:W3CDTF">2023-02-15T12:52:00Z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2201159</vt:r8>
  </property>
</Properties>
</file>